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4"/>
        <w:rPr>
          <w:rFonts w:ascii="Times New Roman"/>
          <w:sz w:val="18"/>
        </w:rPr>
      </w:pPr>
    </w:p>
    <w:p>
      <w:pPr>
        <w:pStyle w:val="BodyText"/>
        <w:ind w:left="690"/>
        <w:rPr>
          <w:rFonts w:ascii="Times New Roman"/>
          <w:sz w:val="20"/>
        </w:rPr>
      </w:pPr>
      <w:r>
        <w:rPr>
          <w:rFonts w:ascii="Times New Roman"/>
          <w:sz w:val="20"/>
        </w:rPr>
        <w:drawing>
          <wp:inline distT="0" distB="0" distL="0" distR="0">
            <wp:extent cx="4859515" cy="749807"/>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7" cstate="print"/>
                    <a:stretch>
                      <a:fillRect/>
                    </a:stretch>
                  </pic:blipFill>
                  <pic:spPr>
                    <a:xfrm>
                      <a:off x="0" y="0"/>
                      <a:ext cx="4859515" cy="749807"/>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8"/>
        <w:rPr>
          <w:rFonts w:ascii="Times New Roman"/>
          <w:sz w:val="29"/>
        </w:rPr>
      </w:pPr>
    </w:p>
    <w:p>
      <w:pPr>
        <w:pStyle w:val="BodyText"/>
        <w:spacing w:before="54"/>
        <w:ind w:left="364" w:right="524"/>
        <w:jc w:val="center"/>
      </w:pPr>
      <w:r>
        <w:rPr/>
        <w:pict>
          <v:line style="position:absolute;mso-position-horizontal-relative:page;mso-position-vertical-relative:paragraph;z-index:-251658240;mso-wrap-distance-left:0;mso-wrap-distance-right:0" from="82.699997pt,30.650007pt" to="524.899997pt,30.650007pt" stroked="true" strokeweight="2.5pt" strokecolor="#ff0000">
            <v:stroke dashstyle="solid"/>
            <w10:wrap type="topAndBottom"/>
          </v:line>
        </w:pict>
      </w:r>
      <w:bookmarkStart w:name="doc_mark" w:id="1"/>
      <w:bookmarkEnd w:id="1"/>
      <w:r>
        <w:rPr/>
      </w:r>
      <w:r>
        <w:rPr/>
        <w:t>湖师学〔2021〕10 号</w:t>
      </w:r>
    </w:p>
    <w:p>
      <w:pPr>
        <w:pStyle w:val="BodyText"/>
      </w:pPr>
    </w:p>
    <w:p>
      <w:pPr>
        <w:pStyle w:val="Heading1"/>
        <w:spacing w:line="192" w:lineRule="auto" w:before="272"/>
        <w:ind w:left="364" w:right="532"/>
        <w:jc w:val="center"/>
      </w:pPr>
      <w:r>
        <w:rPr>
          <w:w w:val="95"/>
        </w:rPr>
        <w:t>关于印发《湖北师范大学本科生国家奖学金</w:t>
      </w:r>
      <w:r>
        <w:rPr/>
        <w:t>评审办法（修订）》的通知</w:t>
      </w:r>
    </w:p>
    <w:p>
      <w:pPr>
        <w:pStyle w:val="BodyText"/>
        <w:spacing w:before="8"/>
        <w:rPr>
          <w:rFonts w:ascii="华文中宋"/>
          <w:sz w:val="40"/>
        </w:rPr>
      </w:pPr>
    </w:p>
    <w:p>
      <w:pPr>
        <w:pStyle w:val="BodyText"/>
        <w:ind w:left="149"/>
      </w:pPr>
      <w:r>
        <w:rPr/>
        <w:t>校内各单位：</w:t>
      </w:r>
    </w:p>
    <w:p>
      <w:pPr>
        <w:pStyle w:val="BodyText"/>
        <w:spacing w:line="328" w:lineRule="auto" w:before="149"/>
        <w:ind w:left="149" w:right="313" w:firstLine="640"/>
      </w:pPr>
      <w:r>
        <w:rPr/>
        <w:t>《湖北师范大学本科生国家奖学金评审办法</w:t>
      </w:r>
      <w:r>
        <w:rPr>
          <w:spacing w:val="4"/>
        </w:rPr>
        <w:t>（</w:t>
      </w:r>
      <w:r>
        <w:rPr/>
        <w:t>修订</w:t>
      </w:r>
      <w:r>
        <w:rPr>
          <w:spacing w:val="-159"/>
        </w:rPr>
        <w:t>）</w:t>
      </w:r>
      <w:r>
        <w:rPr/>
        <w:t>》已经学校审议通过，现予印发，请遵照执行。</w:t>
      </w:r>
    </w:p>
    <w:p>
      <w:pPr>
        <w:pStyle w:val="BodyText"/>
        <w:spacing w:before="12"/>
        <w:rPr>
          <w:sz w:val="11"/>
        </w:rPr>
      </w:pPr>
      <w:r>
        <w:rPr/>
        <w:pict>
          <v:group style="position:absolute;margin-left:359.200012pt;margin-top:9.627600pt;width:126.1pt;height:126.1pt;mso-position-horizontal-relative:page;mso-position-vertical-relative:paragraph;z-index:-251656192;mso-wrap-distance-left:0;mso-wrap-distance-right:0" coordorigin="7184,193" coordsize="2522,2522">
            <v:shape style="position:absolute;left:7184;top:192;width:2522;height:2522" type="#_x0000_t75" stroked="false">
              <v:imagedata r:id="rId8" o:title=""/>
            </v:shape>
            <v:shape style="position:absolute;left:7184;top:192;width:2522;height:2522" type="#_x0000_t202" filled="false" stroked="false">
              <v:textbox inset="0,0,0,0">
                <w:txbxContent>
                  <w:p>
                    <w:pPr>
                      <w:spacing w:line="240" w:lineRule="auto" w:before="0"/>
                      <w:rPr>
                        <w:sz w:val="32"/>
                      </w:rPr>
                    </w:pPr>
                  </w:p>
                  <w:p>
                    <w:pPr>
                      <w:spacing w:line="240" w:lineRule="auto" w:before="3"/>
                      <w:rPr>
                        <w:sz w:val="40"/>
                      </w:rPr>
                    </w:pPr>
                  </w:p>
                  <w:p>
                    <w:pPr>
                      <w:spacing w:line="326" w:lineRule="auto" w:before="1"/>
                      <w:ind w:left="-12" w:right="51" w:firstLine="199"/>
                      <w:jc w:val="left"/>
                      <w:rPr>
                        <w:sz w:val="32"/>
                      </w:rPr>
                    </w:pPr>
                    <w:r>
                      <w:rPr>
                        <w:sz w:val="32"/>
                      </w:rPr>
                      <w:t>湖北师范大学2021</w:t>
                    </w:r>
                    <w:r>
                      <w:rPr>
                        <w:spacing w:val="-54"/>
                        <w:sz w:val="32"/>
                      </w:rPr>
                      <w:t> 年 </w:t>
                    </w:r>
                    <w:r>
                      <w:rPr>
                        <w:sz w:val="32"/>
                      </w:rPr>
                      <w:t>3</w:t>
                    </w:r>
                    <w:r>
                      <w:rPr>
                        <w:spacing w:val="-54"/>
                        <w:sz w:val="32"/>
                      </w:rPr>
                      <w:t> 月 </w:t>
                    </w:r>
                    <w:r>
                      <w:rPr>
                        <w:sz w:val="32"/>
                      </w:rPr>
                      <w:t>31</w:t>
                    </w:r>
                    <w:r>
                      <w:rPr>
                        <w:spacing w:val="-49"/>
                        <w:sz w:val="32"/>
                      </w:rPr>
                      <w:t> 日</w:t>
                    </w:r>
                  </w:p>
                </w:txbxContent>
              </v:textbox>
              <w10:wrap type="none"/>
            </v:shape>
            <w10:wrap type="topAndBottom"/>
          </v:group>
        </w:pict>
      </w:r>
    </w:p>
    <w:p>
      <w:pPr>
        <w:spacing w:after="0"/>
        <w:rPr>
          <w:sz w:val="11"/>
        </w:rPr>
        <w:sectPr>
          <w:footerReference w:type="default" r:id="rId5"/>
          <w:footerReference w:type="even" r:id="rId6"/>
          <w:type w:val="continuous"/>
          <w:pgSz w:w="11910" w:h="16840"/>
          <w:pgMar w:footer="1383" w:top="1580" w:bottom="1580" w:left="1440" w:right="1160"/>
          <w:pgNumType w:start="1"/>
        </w:sectPr>
      </w:pPr>
    </w:p>
    <w:p>
      <w:pPr>
        <w:pStyle w:val="BodyText"/>
        <w:rPr>
          <w:sz w:val="20"/>
        </w:rPr>
      </w:pPr>
    </w:p>
    <w:p>
      <w:pPr>
        <w:pStyle w:val="Heading1"/>
      </w:pPr>
      <w:r>
        <w:rPr>
          <w:spacing w:val="-8"/>
          <w:w w:val="95"/>
        </w:rPr>
        <w:t>湖北师范大学本科生国家奖学金评审办法</w:t>
      </w:r>
      <w:r>
        <w:rPr>
          <w:w w:val="95"/>
        </w:rPr>
        <w:t>（修订）</w:t>
      </w:r>
    </w:p>
    <w:p>
      <w:pPr>
        <w:pStyle w:val="BodyText"/>
        <w:spacing w:before="15"/>
        <w:rPr>
          <w:rFonts w:ascii="华文中宋"/>
          <w:sz w:val="37"/>
        </w:rPr>
      </w:pPr>
    </w:p>
    <w:p>
      <w:pPr>
        <w:pStyle w:val="BodyText"/>
        <w:tabs>
          <w:tab w:pos="1377" w:val="left" w:leader="none"/>
          <w:tab w:pos="2064" w:val="left" w:leader="none"/>
        </w:tabs>
        <w:ind w:right="184"/>
        <w:jc w:val="center"/>
        <w:rPr>
          <w:rFonts w:ascii="黑体" w:eastAsia="黑体" w:hint="eastAsia"/>
        </w:rPr>
      </w:pPr>
      <w:r>
        <w:rPr>
          <w:rFonts w:ascii="黑体" w:eastAsia="黑体" w:hint="eastAsia"/>
          <w:spacing w:val="26"/>
        </w:rPr>
        <w:t>第</w:t>
      </w:r>
      <w:r>
        <w:rPr>
          <w:rFonts w:ascii="黑体" w:eastAsia="黑体" w:hint="eastAsia"/>
          <w:spacing w:val="23"/>
        </w:rPr>
        <w:t>一</w:t>
      </w:r>
      <w:r>
        <w:rPr>
          <w:rFonts w:ascii="黑体" w:eastAsia="黑体" w:hint="eastAsia"/>
        </w:rPr>
        <w:t>章</w:t>
        <w:tab/>
        <w:t>总</w:t>
        <w:tab/>
        <w:t>则</w:t>
      </w:r>
    </w:p>
    <w:p>
      <w:pPr>
        <w:pStyle w:val="BodyText"/>
        <w:tabs>
          <w:tab w:pos="2071" w:val="left" w:leader="none"/>
        </w:tabs>
        <w:spacing w:line="328" w:lineRule="auto" w:before="149"/>
        <w:ind w:left="149" w:right="199" w:firstLine="640"/>
      </w:pPr>
      <w:r>
        <w:rPr>
          <w:rFonts w:ascii="黑体" w:eastAsia="黑体" w:hint="eastAsia"/>
        </w:rPr>
        <w:t>第一条</w:t>
        <w:tab/>
      </w:r>
      <w:r>
        <w:rPr/>
        <w:t>为激励我校学生勤奋学习、努力进取，在德、智</w:t>
      </w:r>
      <w:r>
        <w:rPr>
          <w:spacing w:val="-16"/>
        </w:rPr>
        <w:t>、</w:t>
      </w:r>
      <w:r>
        <w:rPr/>
        <w:t>体</w:t>
      </w:r>
      <w:r>
        <w:rPr>
          <w:spacing w:val="-84"/>
        </w:rPr>
        <w:t>、</w:t>
      </w:r>
      <w:r>
        <w:rPr/>
        <w:t>美</w:t>
      </w:r>
      <w:r>
        <w:rPr>
          <w:spacing w:val="-87"/>
        </w:rPr>
        <w:t>、</w:t>
      </w:r>
      <w:r>
        <w:rPr/>
        <w:t>劳等方面得到全面发展</w:t>
      </w:r>
      <w:r>
        <w:rPr>
          <w:spacing w:val="-87"/>
        </w:rPr>
        <w:t>，</w:t>
      </w:r>
      <w:r>
        <w:rPr/>
        <w:t>根据财政部</w:t>
      </w:r>
      <w:r>
        <w:rPr>
          <w:spacing w:val="-87"/>
        </w:rPr>
        <w:t>、</w:t>
      </w:r>
      <w:r>
        <w:rPr/>
        <w:t>教育部等部</w:t>
      </w:r>
      <w:r>
        <w:rPr>
          <w:spacing w:val="-87"/>
        </w:rPr>
        <w:t>门</w:t>
      </w:r>
      <w:r>
        <w:rPr/>
        <w:t>《学生资助资金管理办法</w:t>
      </w:r>
      <w:r>
        <w:rPr>
          <w:spacing w:val="-15"/>
        </w:rPr>
        <w:t>》</w:t>
      </w:r>
      <w:r>
        <w:rPr/>
        <w:t>（财科</w:t>
      </w:r>
      <w:r>
        <w:rPr>
          <w:spacing w:val="-8"/>
        </w:rPr>
        <w:t>教</w:t>
      </w:r>
      <w:r>
        <w:rPr>
          <w:spacing w:val="4"/>
        </w:rPr>
        <w:t>〔</w:t>
      </w:r>
      <w:r>
        <w:rPr/>
        <w:t>2019</w:t>
      </w:r>
      <w:r>
        <w:rPr>
          <w:spacing w:val="-5"/>
        </w:rPr>
        <w:t>〕</w:t>
      </w:r>
      <w:r>
        <w:rPr/>
        <w:t>19</w:t>
      </w:r>
      <w:r>
        <w:rPr>
          <w:spacing w:val="-84"/>
        </w:rPr>
        <w:t> </w:t>
      </w:r>
      <w:r>
        <w:rPr/>
        <w:t>号</w:t>
      </w:r>
      <w:r>
        <w:rPr>
          <w:spacing w:val="-8"/>
        </w:rPr>
        <w:t>）</w:t>
      </w:r>
      <w:r>
        <w:rPr>
          <w:spacing w:val="-5"/>
        </w:rPr>
        <w:t>和</w:t>
      </w:r>
      <w:r>
        <w:rPr/>
        <w:t>《教育部</w:t>
      </w:r>
      <w:r>
        <w:rPr>
          <w:spacing w:val="-1"/>
        </w:rPr>
        <w:t> </w:t>
      </w:r>
      <w:r>
        <w:rPr/>
        <w:t>财政部关于印发&lt;本专科生国家奖学金评审办法&gt;的通知</w:t>
      </w:r>
      <w:r>
        <w:rPr>
          <w:spacing w:val="-116"/>
        </w:rPr>
        <w:t>》</w:t>
      </w:r>
      <w:r>
        <w:rPr/>
        <w:t>（教财函</w:t>
      </w:r>
    </w:p>
    <w:p>
      <w:pPr>
        <w:pStyle w:val="BodyText"/>
        <w:spacing w:line="403" w:lineRule="exact"/>
        <w:ind w:left="149"/>
      </w:pPr>
      <w:r>
        <w:rPr/>
        <w:t>〔2019〕105 号）文件精神，制定本办法。</w:t>
      </w:r>
    </w:p>
    <w:p>
      <w:pPr>
        <w:pStyle w:val="BodyText"/>
        <w:spacing w:line="326" w:lineRule="auto" w:before="152"/>
        <w:ind w:left="149" w:right="314" w:firstLine="640"/>
        <w:jc w:val="both"/>
      </w:pPr>
      <w:r>
        <w:rPr>
          <w:rFonts w:ascii="黑体" w:eastAsia="黑体" w:hint="eastAsia"/>
          <w:spacing w:val="38"/>
        </w:rPr>
        <w:t>第二条 </w:t>
      </w:r>
      <w:r>
        <w:rPr>
          <w:spacing w:val="-9"/>
        </w:rPr>
        <w:t>国家奖学金由中央政府出资设立，用于奖励纳入全</w:t>
      </w:r>
      <w:r>
        <w:rPr>
          <w:spacing w:val="-3"/>
        </w:rPr>
        <w:t>国招生计划内的高校全日制本专科</w:t>
      </w:r>
      <w:r>
        <w:rPr/>
        <w:t>（</w:t>
      </w:r>
      <w:r>
        <w:rPr>
          <w:spacing w:val="-6"/>
        </w:rPr>
        <w:t>含高职、第二学士学位</w:t>
      </w:r>
      <w:r>
        <w:rPr>
          <w:spacing w:val="-39"/>
        </w:rPr>
        <w:t>）</w:t>
      </w:r>
      <w:r>
        <w:rPr>
          <w:spacing w:val="-14"/>
        </w:rPr>
        <w:t>学</w:t>
      </w:r>
      <w:r>
        <w:rPr/>
        <w:t>生中特别优秀的学生。</w:t>
      </w:r>
    </w:p>
    <w:p>
      <w:pPr>
        <w:pStyle w:val="BodyText"/>
        <w:spacing w:line="326" w:lineRule="auto" w:before="7"/>
        <w:ind w:left="149" w:right="314" w:firstLine="640"/>
        <w:jc w:val="both"/>
      </w:pPr>
      <w:r>
        <w:rPr>
          <w:rFonts w:ascii="黑体" w:eastAsia="黑体" w:hint="eastAsia"/>
        </w:rPr>
        <w:t>第三条 </w:t>
      </w:r>
      <w:r>
        <w:rPr/>
        <w:t>国家奖学金评审坚持公平、公正、公开、择优的原则，实行等额评审，每学年评审一次。</w:t>
      </w:r>
    </w:p>
    <w:p>
      <w:pPr>
        <w:pStyle w:val="BodyText"/>
        <w:tabs>
          <w:tab w:pos="1378" w:val="left" w:leader="none"/>
        </w:tabs>
        <w:spacing w:before="4"/>
        <w:ind w:right="188"/>
        <w:jc w:val="center"/>
        <w:rPr>
          <w:rFonts w:ascii="黑体" w:eastAsia="黑体" w:hint="eastAsia"/>
        </w:rPr>
      </w:pPr>
      <w:r>
        <w:rPr>
          <w:rFonts w:ascii="黑体" w:eastAsia="黑体" w:hint="eastAsia"/>
          <w:spacing w:val="27"/>
        </w:rPr>
        <w:t>第</w:t>
      </w:r>
      <w:r>
        <w:rPr>
          <w:rFonts w:ascii="黑体" w:eastAsia="黑体" w:hint="eastAsia"/>
          <w:spacing w:val="24"/>
        </w:rPr>
        <w:t>二</w:t>
      </w:r>
      <w:r>
        <w:rPr>
          <w:rFonts w:ascii="黑体" w:eastAsia="黑体" w:hint="eastAsia"/>
        </w:rPr>
        <w:t>章</w:t>
        <w:tab/>
      </w:r>
      <w:r>
        <w:rPr>
          <w:rFonts w:ascii="黑体" w:eastAsia="黑体" w:hint="eastAsia"/>
          <w:spacing w:val="23"/>
        </w:rPr>
        <w:t>奖励标</w:t>
      </w:r>
      <w:r>
        <w:rPr>
          <w:rFonts w:ascii="黑体" w:eastAsia="黑体" w:hint="eastAsia"/>
          <w:spacing w:val="26"/>
        </w:rPr>
        <w:t>准</w:t>
      </w:r>
      <w:r>
        <w:rPr>
          <w:rFonts w:ascii="黑体" w:eastAsia="黑体" w:hint="eastAsia"/>
          <w:spacing w:val="23"/>
        </w:rPr>
        <w:t>与申</w:t>
      </w:r>
      <w:r>
        <w:rPr>
          <w:rFonts w:ascii="黑体" w:eastAsia="黑体" w:hint="eastAsia"/>
          <w:spacing w:val="26"/>
        </w:rPr>
        <w:t>请</w:t>
      </w:r>
      <w:r>
        <w:rPr>
          <w:rFonts w:ascii="黑体" w:eastAsia="黑体" w:hint="eastAsia"/>
          <w:spacing w:val="23"/>
        </w:rPr>
        <w:t>条</w:t>
      </w:r>
      <w:r>
        <w:rPr>
          <w:rFonts w:ascii="黑体" w:eastAsia="黑体" w:hint="eastAsia"/>
        </w:rPr>
        <w:t>件</w:t>
      </w:r>
    </w:p>
    <w:p>
      <w:pPr>
        <w:pStyle w:val="BodyText"/>
        <w:tabs>
          <w:tab w:pos="2071" w:val="left" w:leader="none"/>
        </w:tabs>
        <w:spacing w:before="151"/>
        <w:ind w:left="790"/>
      </w:pPr>
      <w:r>
        <w:rPr>
          <w:rFonts w:ascii="黑体" w:eastAsia="黑体" w:hint="eastAsia"/>
        </w:rPr>
        <w:t>第四条</w:t>
        <w:tab/>
      </w:r>
      <w:r>
        <w:rPr/>
        <w:t>国家奖学金的奖励标准为每生每年</w:t>
      </w:r>
      <w:r>
        <w:rPr>
          <w:spacing w:val="-78"/>
        </w:rPr>
        <w:t> </w:t>
      </w:r>
      <w:r>
        <w:rPr/>
        <w:t>8000</w:t>
      </w:r>
      <w:r>
        <w:rPr>
          <w:spacing w:val="-81"/>
        </w:rPr>
        <w:t> </w:t>
      </w:r>
      <w:r>
        <w:rPr/>
        <w:t>元。</w:t>
      </w:r>
    </w:p>
    <w:p>
      <w:pPr>
        <w:pStyle w:val="BodyText"/>
        <w:tabs>
          <w:tab w:pos="2071" w:val="left" w:leader="none"/>
        </w:tabs>
        <w:spacing w:before="150"/>
        <w:ind w:left="790"/>
      </w:pPr>
      <w:r>
        <w:rPr>
          <w:rFonts w:ascii="黑体" w:eastAsia="黑体" w:hint="eastAsia"/>
        </w:rPr>
        <w:t>第五条</w:t>
        <w:tab/>
      </w:r>
      <w:r>
        <w:rPr/>
        <w:t>学生申请国家奖学金的基本条件：</w:t>
      </w:r>
    </w:p>
    <w:p>
      <w:pPr>
        <w:pStyle w:val="BodyText"/>
        <w:spacing w:before="149"/>
        <w:ind w:left="790"/>
      </w:pPr>
      <w:r>
        <w:rPr/>
        <w:t>（一）具有中华人民共和国国籍；</w:t>
      </w:r>
    </w:p>
    <w:p>
      <w:pPr>
        <w:pStyle w:val="BodyText"/>
        <w:spacing w:before="151"/>
        <w:ind w:left="790"/>
      </w:pPr>
      <w:r>
        <w:rPr/>
        <w:t>（二）热爱社会主义祖国，拥护中国共产党的领导；</w:t>
      </w:r>
    </w:p>
    <w:p>
      <w:pPr>
        <w:pStyle w:val="BodyText"/>
        <w:spacing w:before="150"/>
        <w:ind w:left="790"/>
      </w:pPr>
      <w:r>
        <w:rPr/>
        <w:t>（三）遵守宪法和法律，遵守学校规章制度；</w:t>
      </w:r>
    </w:p>
    <w:p>
      <w:pPr>
        <w:pStyle w:val="BodyText"/>
        <w:spacing w:before="149"/>
        <w:ind w:left="790"/>
      </w:pPr>
      <w:r>
        <w:rPr/>
        <w:t>（四）诚实守信，道德品质优良；</w:t>
      </w:r>
    </w:p>
    <w:p>
      <w:pPr>
        <w:pStyle w:val="BodyText"/>
        <w:spacing w:line="326" w:lineRule="auto" w:before="152"/>
        <w:ind w:left="149" w:right="312" w:firstLine="640"/>
      </w:pPr>
      <w:r>
        <w:rPr/>
        <w:t>（五</w:t>
      </w:r>
      <w:r>
        <w:rPr>
          <w:spacing w:val="-29"/>
        </w:rPr>
        <w:t>）</w:t>
      </w:r>
      <w:r>
        <w:rPr>
          <w:spacing w:val="-8"/>
        </w:rPr>
        <w:t>在校期间学习成绩优异，社会实践、创新能力、综合</w:t>
      </w:r>
      <w:r>
        <w:rPr/>
        <w:t>素质等方面特别突出。</w:t>
      </w:r>
    </w:p>
    <w:p>
      <w:pPr>
        <w:spacing w:after="0" w:line="326" w:lineRule="auto"/>
        <w:sectPr>
          <w:pgSz w:w="11910" w:h="16840"/>
          <w:pgMar w:header="0" w:footer="1383" w:top="1580" w:bottom="1580" w:left="1440" w:right="1160"/>
        </w:sectPr>
      </w:pPr>
    </w:p>
    <w:p>
      <w:pPr>
        <w:pStyle w:val="BodyText"/>
        <w:rPr>
          <w:sz w:val="20"/>
        </w:rPr>
      </w:pPr>
    </w:p>
    <w:p>
      <w:pPr>
        <w:pStyle w:val="BodyText"/>
        <w:spacing w:before="10"/>
        <w:rPr>
          <w:sz w:val="24"/>
        </w:rPr>
      </w:pPr>
    </w:p>
    <w:p>
      <w:pPr>
        <w:pStyle w:val="BodyText"/>
        <w:tabs>
          <w:tab w:pos="2071" w:val="left" w:leader="none"/>
        </w:tabs>
        <w:spacing w:line="326" w:lineRule="auto" w:before="54"/>
        <w:ind w:left="149" w:right="314" w:firstLine="640"/>
      </w:pPr>
      <w:r>
        <w:rPr>
          <w:rFonts w:ascii="黑体" w:eastAsia="黑体" w:hint="eastAsia"/>
        </w:rPr>
        <w:t>第六条</w:t>
        <w:tab/>
      </w:r>
      <w:r>
        <w:rPr/>
        <w:t>在符合基本条件的情况下</w:t>
      </w:r>
      <w:r>
        <w:rPr>
          <w:spacing w:val="-113"/>
        </w:rPr>
        <w:t>，</w:t>
      </w:r>
      <w:r>
        <w:rPr/>
        <w:t>申请人还应满足以下</w:t>
      </w:r>
      <w:r>
        <w:rPr>
          <w:spacing w:val="-16"/>
        </w:rPr>
        <w:t>具</w:t>
      </w:r>
      <w:r>
        <w:rPr/>
        <w:t>体条件：</w:t>
      </w:r>
    </w:p>
    <w:p>
      <w:pPr>
        <w:pStyle w:val="BodyText"/>
        <w:spacing w:line="326" w:lineRule="auto" w:before="6"/>
        <w:ind w:left="149" w:right="311" w:firstLine="640"/>
      </w:pPr>
      <w:r>
        <w:rPr/>
        <w:t>（一</w:t>
      </w:r>
      <w:r>
        <w:rPr>
          <w:spacing w:val="-108"/>
        </w:rPr>
        <w:t>）</w:t>
      </w:r>
      <w:r>
        <w:rPr>
          <w:spacing w:val="-22"/>
        </w:rPr>
        <w:t>在评选学年度，未受到学校学业性处理、纪律处分</w:t>
      </w:r>
      <w:r>
        <w:rPr/>
        <w:t>（</w:t>
      </w:r>
      <w:r>
        <w:rPr>
          <w:spacing w:val="-14"/>
        </w:rPr>
        <w:t>含</w:t>
      </w:r>
      <w:r>
        <w:rPr/>
        <w:t>处分未解除）；</w:t>
      </w:r>
    </w:p>
    <w:p>
      <w:pPr>
        <w:pStyle w:val="BodyText"/>
        <w:spacing w:line="328" w:lineRule="auto" w:before="3"/>
        <w:ind w:left="149" w:right="312" w:firstLine="640"/>
      </w:pPr>
      <w:r>
        <w:rPr/>
        <w:t>（二</w:t>
      </w:r>
      <w:r>
        <w:rPr>
          <w:spacing w:val="-39"/>
        </w:rPr>
        <w:t>）</w:t>
      </w:r>
      <w:r>
        <w:rPr>
          <w:spacing w:val="-3"/>
        </w:rPr>
        <w:t>在籍在校普通全日制本科二年级</w:t>
      </w:r>
      <w:r>
        <w:rPr/>
        <w:t>（含</w:t>
      </w:r>
      <w:r>
        <w:rPr>
          <w:spacing w:val="-39"/>
        </w:rPr>
        <w:t>）</w:t>
      </w:r>
      <w:r>
        <w:rPr>
          <w:spacing w:val="-3"/>
        </w:rPr>
        <w:t>以上学生方可</w:t>
      </w:r>
      <w:r>
        <w:rPr/>
        <w:t>申请国家奖学金；</w:t>
      </w:r>
    </w:p>
    <w:p>
      <w:pPr>
        <w:pStyle w:val="BodyText"/>
        <w:spacing w:line="328" w:lineRule="auto"/>
        <w:ind w:left="149" w:right="312" w:firstLine="640"/>
      </w:pPr>
      <w:r>
        <w:rPr/>
        <w:drawing>
          <wp:anchor distT="0" distB="0" distL="0" distR="0" allowOverlap="1" layoutInCell="1" locked="0" behindDoc="1" simplePos="0" relativeHeight="251499520">
            <wp:simplePos x="0" y="0"/>
            <wp:positionH relativeFrom="page">
              <wp:posOffset>1219758</wp:posOffset>
            </wp:positionH>
            <wp:positionV relativeFrom="paragraph">
              <wp:posOffset>762507</wp:posOffset>
            </wp:positionV>
            <wp:extent cx="85725" cy="155575"/>
            <wp:effectExtent l="0" t="0" r="0" b="0"/>
            <wp:wrapNone/>
            <wp:docPr id="3" name="image3.png"/>
            <wp:cNvGraphicFramePr>
              <a:graphicFrameLocks noChangeAspect="1"/>
            </wp:cNvGraphicFramePr>
            <a:graphic>
              <a:graphicData uri="http://schemas.openxmlformats.org/drawingml/2006/picture">
                <pic:pic>
                  <pic:nvPicPr>
                    <pic:cNvPr id="4" name="image3.png"/>
                    <pic:cNvPicPr/>
                  </pic:nvPicPr>
                  <pic:blipFill>
                    <a:blip r:embed="rId9" cstate="print"/>
                    <a:stretch>
                      <a:fillRect/>
                    </a:stretch>
                  </pic:blipFill>
                  <pic:spPr>
                    <a:xfrm>
                      <a:off x="0" y="0"/>
                      <a:ext cx="85725" cy="155575"/>
                    </a:xfrm>
                    <a:prstGeom prst="rect">
                      <a:avLst/>
                    </a:prstGeom>
                  </pic:spPr>
                </pic:pic>
              </a:graphicData>
            </a:graphic>
          </wp:anchor>
        </w:drawing>
      </w:r>
      <w:r>
        <w:rPr/>
        <w:t>（三</w:t>
      </w:r>
      <w:r>
        <w:rPr>
          <w:spacing w:val="-39"/>
        </w:rPr>
        <w:t>）</w:t>
      </w:r>
      <w:r>
        <w:rPr>
          <w:spacing w:val="-9"/>
        </w:rPr>
        <w:t>在评选学年度，经综合测评获得学习优秀奖学金，综</w:t>
      </w:r>
      <w:r>
        <w:rPr>
          <w:position w:val="1"/>
        </w:rPr>
        <w:t>合测评成绩排名和学习成绩排名均位于评选范围内前</w:t>
      </w:r>
      <w:r>
        <w:rPr>
          <w:spacing w:val="-82"/>
          <w:position w:val="1"/>
        </w:rPr>
        <w:t> </w:t>
      </w:r>
      <w:r>
        <w:rPr>
          <w:spacing w:val="4"/>
          <w:position w:val="1"/>
        </w:rPr>
        <w:t>10</w:t>
      </w:r>
      <w:r>
        <w:rPr>
          <w:spacing w:val="10"/>
          <w:w w:val="99"/>
        </w:rPr>
        <w:drawing>
          <wp:inline distT="0" distB="0" distL="0" distR="0">
            <wp:extent cx="85725" cy="155575"/>
            <wp:effectExtent l="0" t="0" r="0" b="0"/>
            <wp:docPr id="5" name="image3.png"/>
            <wp:cNvGraphicFramePr>
              <a:graphicFrameLocks noChangeAspect="1"/>
            </wp:cNvGraphicFramePr>
            <a:graphic>
              <a:graphicData uri="http://schemas.openxmlformats.org/drawingml/2006/picture">
                <pic:pic>
                  <pic:nvPicPr>
                    <pic:cNvPr id="6" name="image3.png"/>
                    <pic:cNvPicPr/>
                  </pic:nvPicPr>
                  <pic:blipFill>
                    <a:blip r:embed="rId9" cstate="print"/>
                    <a:stretch>
                      <a:fillRect/>
                    </a:stretch>
                  </pic:blipFill>
                  <pic:spPr>
                    <a:xfrm>
                      <a:off x="0" y="0"/>
                      <a:ext cx="85725" cy="155575"/>
                    </a:xfrm>
                    <a:prstGeom prst="rect">
                      <a:avLst/>
                    </a:prstGeom>
                  </pic:spPr>
                </pic:pic>
              </a:graphicData>
            </a:graphic>
          </wp:inline>
        </w:drawing>
      </w:r>
      <w:r>
        <w:rPr>
          <w:spacing w:val="10"/>
          <w:w w:val="99"/>
        </w:rPr>
      </w:r>
      <w:r>
        <w:rPr>
          <w:position w:val="1"/>
        </w:rPr>
        <w:t>（含</w:t>
      </w:r>
      <w:r>
        <w:rPr/>
        <w:t>10），且没有不及格科目；</w:t>
      </w:r>
    </w:p>
    <w:p>
      <w:pPr>
        <w:pStyle w:val="BodyText"/>
        <w:spacing w:line="326" w:lineRule="auto"/>
        <w:ind w:left="149" w:right="276" w:firstLine="640"/>
        <w:jc w:val="both"/>
      </w:pPr>
      <w:r>
        <w:rPr/>
        <w:drawing>
          <wp:anchor distT="0" distB="0" distL="0" distR="0" allowOverlap="1" layoutInCell="1" locked="0" behindDoc="1" simplePos="0" relativeHeight="251500544">
            <wp:simplePos x="0" y="0"/>
            <wp:positionH relativeFrom="page">
              <wp:posOffset>2083816</wp:posOffset>
            </wp:positionH>
            <wp:positionV relativeFrom="paragraph">
              <wp:posOffset>402716</wp:posOffset>
            </wp:positionV>
            <wp:extent cx="85725" cy="155575"/>
            <wp:effectExtent l="0" t="0" r="0" b="0"/>
            <wp:wrapNone/>
            <wp:docPr id="7" name="image3.png"/>
            <wp:cNvGraphicFramePr>
              <a:graphicFrameLocks noChangeAspect="1"/>
            </wp:cNvGraphicFramePr>
            <a:graphic>
              <a:graphicData uri="http://schemas.openxmlformats.org/drawingml/2006/picture">
                <pic:pic>
                  <pic:nvPicPr>
                    <pic:cNvPr id="8" name="image3.png"/>
                    <pic:cNvPicPr/>
                  </pic:nvPicPr>
                  <pic:blipFill>
                    <a:blip r:embed="rId9" cstate="print"/>
                    <a:stretch>
                      <a:fillRect/>
                    </a:stretch>
                  </pic:blipFill>
                  <pic:spPr>
                    <a:xfrm>
                      <a:off x="0" y="0"/>
                      <a:ext cx="85725" cy="155575"/>
                    </a:xfrm>
                    <a:prstGeom prst="rect">
                      <a:avLst/>
                    </a:prstGeom>
                  </pic:spPr>
                </pic:pic>
              </a:graphicData>
            </a:graphic>
          </wp:anchor>
        </w:drawing>
      </w:r>
      <w:r>
        <w:rPr/>
        <w:drawing>
          <wp:anchor distT="0" distB="0" distL="0" distR="0" allowOverlap="1" layoutInCell="1" locked="0" behindDoc="1" simplePos="0" relativeHeight="251501568">
            <wp:simplePos x="0" y="0"/>
            <wp:positionH relativeFrom="page">
              <wp:posOffset>2846197</wp:posOffset>
            </wp:positionH>
            <wp:positionV relativeFrom="paragraph">
              <wp:posOffset>402716</wp:posOffset>
            </wp:positionV>
            <wp:extent cx="85725" cy="155575"/>
            <wp:effectExtent l="0" t="0" r="0" b="0"/>
            <wp:wrapNone/>
            <wp:docPr id="9" name="image3.png"/>
            <wp:cNvGraphicFramePr>
              <a:graphicFrameLocks noChangeAspect="1"/>
            </wp:cNvGraphicFramePr>
            <a:graphic>
              <a:graphicData uri="http://schemas.openxmlformats.org/drawingml/2006/picture">
                <pic:pic>
                  <pic:nvPicPr>
                    <pic:cNvPr id="10" name="image3.png"/>
                    <pic:cNvPicPr/>
                  </pic:nvPicPr>
                  <pic:blipFill>
                    <a:blip r:embed="rId9" cstate="print"/>
                    <a:stretch>
                      <a:fillRect/>
                    </a:stretch>
                  </pic:blipFill>
                  <pic:spPr>
                    <a:xfrm>
                      <a:off x="0" y="0"/>
                      <a:ext cx="85725" cy="155575"/>
                    </a:xfrm>
                    <a:prstGeom prst="rect">
                      <a:avLst/>
                    </a:prstGeom>
                  </pic:spPr>
                </pic:pic>
              </a:graphicData>
            </a:graphic>
          </wp:anchor>
        </w:drawing>
      </w:r>
      <w:r>
        <w:rPr/>
        <w:t>（四）学习成绩排名和综合测评成绩排名没有进入前</w:t>
      </w:r>
      <w:r>
        <w:rPr>
          <w:spacing w:val="-82"/>
        </w:rPr>
        <w:t> </w:t>
      </w:r>
      <w:r>
        <w:rPr>
          <w:spacing w:val="4"/>
        </w:rPr>
        <w:t>10</w:t>
      </w:r>
      <w:r>
        <w:rPr>
          <w:spacing w:val="10"/>
          <w:w w:val="99"/>
        </w:rPr>
        <w:drawing>
          <wp:inline distT="0" distB="0" distL="0" distR="0">
            <wp:extent cx="85725" cy="155575"/>
            <wp:effectExtent l="0" t="0" r="0" b="0"/>
            <wp:docPr id="11" name="image3.png"/>
            <wp:cNvGraphicFramePr>
              <a:graphicFrameLocks noChangeAspect="1"/>
            </wp:cNvGraphicFramePr>
            <a:graphic>
              <a:graphicData uri="http://schemas.openxmlformats.org/drawingml/2006/picture">
                <pic:pic>
                  <pic:nvPicPr>
                    <pic:cNvPr id="12" name="image3.png"/>
                    <pic:cNvPicPr/>
                  </pic:nvPicPr>
                  <pic:blipFill>
                    <a:blip r:embed="rId9" cstate="print"/>
                    <a:stretch>
                      <a:fillRect/>
                    </a:stretch>
                  </pic:blipFill>
                  <pic:spPr>
                    <a:xfrm>
                      <a:off x="0" y="0"/>
                      <a:ext cx="85725" cy="155575"/>
                    </a:xfrm>
                    <a:prstGeom prst="rect">
                      <a:avLst/>
                    </a:prstGeom>
                  </pic:spPr>
                </pic:pic>
              </a:graphicData>
            </a:graphic>
          </wp:inline>
        </w:drawing>
      </w:r>
      <w:r>
        <w:rPr>
          <w:spacing w:val="10"/>
          <w:w w:val="99"/>
        </w:rPr>
      </w:r>
      <w:r>
        <w:rPr/>
        <w:t>， </w:t>
      </w:r>
      <w:r>
        <w:rPr>
          <w:spacing w:val="-17"/>
        </w:rPr>
        <w:t>但均在前 </w:t>
      </w:r>
      <w:r>
        <w:rPr/>
        <w:t>30（</w:t>
      </w:r>
      <w:r>
        <w:rPr>
          <w:spacing w:val="-41"/>
        </w:rPr>
        <w:t>含 </w:t>
      </w:r>
      <w:r>
        <w:rPr/>
        <w:t>30）的学生，如在其他方面表现非常突出</w:t>
      </w:r>
      <w:r>
        <w:rPr>
          <w:spacing w:val="-252"/>
        </w:rPr>
        <w:t>，</w:t>
      </w:r>
      <w:r>
        <w:rPr>
          <w:spacing w:val="-158"/>
        </w:rPr>
        <w:t> </w:t>
      </w:r>
      <w:r>
        <w:rPr>
          <w:spacing w:val="-3"/>
        </w:rPr>
        <w:t>也可申请国家奖学金，但需要按照“教财函〔</w:t>
      </w:r>
      <w:r>
        <w:rPr/>
        <w:t>2019</w:t>
      </w:r>
      <w:r>
        <w:rPr>
          <w:spacing w:val="-5"/>
        </w:rPr>
        <w:t>〕</w:t>
      </w:r>
      <w:r>
        <w:rPr/>
        <w:t>105</w:t>
      </w:r>
      <w:r>
        <w:rPr>
          <w:spacing w:val="-26"/>
        </w:rPr>
        <w:t> 号”文件的规定，提交详细的证明材料。</w:t>
      </w:r>
    </w:p>
    <w:p>
      <w:pPr>
        <w:pStyle w:val="BodyText"/>
        <w:tabs>
          <w:tab w:pos="1378" w:val="left" w:leader="none"/>
        </w:tabs>
        <w:spacing w:before="2"/>
        <w:ind w:right="188"/>
        <w:jc w:val="center"/>
        <w:rPr>
          <w:rFonts w:ascii="黑体" w:eastAsia="黑体" w:hint="eastAsia"/>
        </w:rPr>
      </w:pPr>
      <w:r>
        <w:rPr>
          <w:rFonts w:ascii="黑体" w:eastAsia="黑体" w:hint="eastAsia"/>
          <w:spacing w:val="26"/>
        </w:rPr>
        <w:t>第</w:t>
      </w:r>
      <w:r>
        <w:rPr>
          <w:rFonts w:ascii="黑体" w:eastAsia="黑体" w:hint="eastAsia"/>
          <w:spacing w:val="23"/>
        </w:rPr>
        <w:t>三</w:t>
      </w:r>
      <w:r>
        <w:rPr>
          <w:rFonts w:ascii="黑体" w:eastAsia="黑体" w:hint="eastAsia"/>
        </w:rPr>
        <w:t>章</w:t>
        <w:tab/>
      </w:r>
      <w:r>
        <w:rPr>
          <w:rFonts w:ascii="黑体" w:eastAsia="黑体" w:hint="eastAsia"/>
          <w:spacing w:val="23"/>
        </w:rPr>
        <w:t>名额分</w:t>
      </w:r>
      <w:r>
        <w:rPr>
          <w:rFonts w:ascii="黑体" w:eastAsia="黑体" w:hint="eastAsia"/>
          <w:spacing w:val="26"/>
        </w:rPr>
        <w:t>配</w:t>
      </w:r>
      <w:r>
        <w:rPr>
          <w:rFonts w:ascii="黑体" w:eastAsia="黑体" w:hint="eastAsia"/>
          <w:spacing w:val="23"/>
        </w:rPr>
        <w:t>与评</w:t>
      </w:r>
      <w:r>
        <w:rPr>
          <w:rFonts w:ascii="黑体" w:eastAsia="黑体" w:hint="eastAsia"/>
          <w:spacing w:val="26"/>
        </w:rPr>
        <w:t>审</w:t>
      </w:r>
      <w:r>
        <w:rPr>
          <w:rFonts w:ascii="黑体" w:eastAsia="黑体" w:hint="eastAsia"/>
          <w:spacing w:val="23"/>
        </w:rPr>
        <w:t>办</w:t>
      </w:r>
      <w:r>
        <w:rPr>
          <w:rFonts w:ascii="黑体" w:eastAsia="黑体" w:hint="eastAsia"/>
        </w:rPr>
        <w:t>法</w:t>
      </w:r>
    </w:p>
    <w:p>
      <w:pPr>
        <w:pStyle w:val="BodyText"/>
        <w:spacing w:line="326" w:lineRule="auto" w:before="152"/>
        <w:ind w:left="149" w:right="517" w:firstLine="640"/>
        <w:jc w:val="both"/>
      </w:pPr>
      <w:r>
        <w:rPr>
          <w:rFonts w:ascii="黑体" w:eastAsia="黑体" w:hint="eastAsia"/>
        </w:rPr>
        <w:t>第七条 </w:t>
      </w:r>
      <w:r>
        <w:rPr/>
        <w:t>学校根据湖北省学生资助管理中心下达的国家奖学金名额和评审学年各学院本科二至四年级的学生人数确定名额分配方案。</w:t>
      </w:r>
    </w:p>
    <w:p>
      <w:pPr>
        <w:pStyle w:val="BodyText"/>
        <w:tabs>
          <w:tab w:pos="2071" w:val="left" w:leader="none"/>
        </w:tabs>
        <w:spacing w:before="7"/>
        <w:ind w:left="790"/>
        <w:rPr>
          <w:rFonts w:ascii="黑体" w:eastAsia="黑体" w:hint="eastAsia"/>
        </w:rPr>
      </w:pPr>
      <w:r>
        <w:rPr>
          <w:rFonts w:ascii="黑体" w:eastAsia="黑体" w:hint="eastAsia"/>
        </w:rPr>
        <w:t>第八条</w:t>
        <w:tab/>
        <w:t>评审原则：</w:t>
      </w:r>
    </w:p>
    <w:p>
      <w:pPr>
        <w:pStyle w:val="BodyText"/>
        <w:spacing w:line="326" w:lineRule="auto" w:before="149"/>
        <w:ind w:left="149" w:right="312" w:firstLine="640"/>
      </w:pPr>
      <w:r>
        <w:rPr/>
        <w:t>（一</w:t>
      </w:r>
      <w:r>
        <w:rPr>
          <w:spacing w:val="-39"/>
        </w:rPr>
        <w:t>）</w:t>
      </w:r>
      <w:r>
        <w:rPr>
          <w:spacing w:val="-6"/>
        </w:rPr>
        <w:t>各学院要根据所下达的名额，实行等额评选，不得随</w:t>
      </w:r>
      <w:r>
        <w:rPr/>
        <w:t>意增减；</w:t>
      </w:r>
    </w:p>
    <w:p>
      <w:pPr>
        <w:pStyle w:val="BodyText"/>
        <w:spacing w:line="326" w:lineRule="auto" w:before="6"/>
        <w:ind w:left="149" w:right="312" w:firstLine="640"/>
      </w:pPr>
      <w:r>
        <w:rPr/>
        <w:t>（二</w:t>
      </w:r>
      <w:r>
        <w:rPr>
          <w:spacing w:val="-39"/>
        </w:rPr>
        <w:t>）</w:t>
      </w:r>
      <w:r>
        <w:rPr>
          <w:spacing w:val="-3"/>
        </w:rPr>
        <w:t>各学院成立国家奖学金评审委员会</w:t>
      </w:r>
      <w:r>
        <w:rPr/>
        <w:t>（</w:t>
      </w:r>
      <w:r>
        <w:rPr>
          <w:spacing w:val="-8"/>
        </w:rPr>
        <w:t>以下简称“评审委员会”</w:t>
      </w:r>
      <w:r>
        <w:rPr>
          <w:spacing w:val="-29"/>
        </w:rPr>
        <w:t>），</w:t>
      </w:r>
      <w:r>
        <w:rPr>
          <w:spacing w:val="-3"/>
        </w:rPr>
        <w:t>负责组织本学院国家奖学金的评审推荐工作。评审</w:t>
      </w:r>
    </w:p>
    <w:p>
      <w:pPr>
        <w:spacing w:after="0" w:line="326" w:lineRule="auto"/>
        <w:sectPr>
          <w:pgSz w:w="11910" w:h="16840"/>
          <w:pgMar w:header="0" w:footer="1383" w:top="1580" w:bottom="1580" w:left="1440" w:right="1160"/>
        </w:sectPr>
      </w:pPr>
    </w:p>
    <w:p>
      <w:pPr>
        <w:pStyle w:val="BodyText"/>
        <w:rPr>
          <w:sz w:val="20"/>
        </w:rPr>
      </w:pPr>
    </w:p>
    <w:p>
      <w:pPr>
        <w:pStyle w:val="BodyText"/>
        <w:spacing w:before="10"/>
        <w:rPr>
          <w:sz w:val="24"/>
        </w:rPr>
      </w:pPr>
    </w:p>
    <w:p>
      <w:pPr>
        <w:pStyle w:val="BodyText"/>
        <w:spacing w:line="328" w:lineRule="auto" w:before="54"/>
        <w:ind w:left="149" w:right="314"/>
        <w:jc w:val="both"/>
      </w:pPr>
      <w:r>
        <w:rPr>
          <w:spacing w:val="-9"/>
        </w:rPr>
        <w:t>委员会由学院党政负责人担任主任，分管学生工作和教学工作的学院领导担任副主任，成员包括学工办主任、教学办主任、辅导</w:t>
      </w:r>
      <w:r>
        <w:rPr/>
        <w:t>员、班主任、教师代表、学生代表等；</w:t>
      </w:r>
    </w:p>
    <w:p>
      <w:pPr>
        <w:pStyle w:val="BodyText"/>
        <w:spacing w:line="326" w:lineRule="auto"/>
        <w:ind w:left="149" w:right="310" w:firstLine="640"/>
      </w:pPr>
      <w:r>
        <w:rPr/>
        <w:t>（三</w:t>
      </w:r>
      <w:r>
        <w:rPr>
          <w:spacing w:val="-22"/>
        </w:rPr>
        <w:t>）</w:t>
      </w:r>
      <w:r>
        <w:rPr>
          <w:spacing w:val="-9"/>
        </w:rPr>
        <w:t>学院要本着公开、公平、公正、择优的原则，认真组</w:t>
      </w:r>
      <w:r>
        <w:rPr/>
        <w:t>织评选，严禁各种不正之风；</w:t>
      </w:r>
    </w:p>
    <w:p>
      <w:pPr>
        <w:pStyle w:val="BodyText"/>
        <w:spacing w:line="326" w:lineRule="auto" w:before="1"/>
        <w:ind w:left="149" w:right="312" w:firstLine="640"/>
      </w:pPr>
      <w:r>
        <w:rPr/>
        <w:t>（四</w:t>
      </w:r>
      <w:r>
        <w:rPr>
          <w:spacing w:val="-58"/>
        </w:rPr>
        <w:t>）</w:t>
      </w:r>
      <w:r>
        <w:rPr>
          <w:spacing w:val="-9"/>
        </w:rPr>
        <w:t>同一学年内，获得国家奖学金的家庭经济困难学生可</w:t>
      </w:r>
      <w:r>
        <w:rPr/>
        <w:t>以同时申请并获得国家助学金，但不能同时获得国家励志奖学金。</w:t>
      </w:r>
    </w:p>
    <w:p>
      <w:pPr>
        <w:pStyle w:val="BodyText"/>
        <w:tabs>
          <w:tab w:pos="2071" w:val="left" w:leader="none"/>
        </w:tabs>
        <w:spacing w:before="8"/>
        <w:ind w:left="790"/>
        <w:rPr>
          <w:rFonts w:ascii="黑体" w:eastAsia="黑体" w:hint="eastAsia"/>
        </w:rPr>
      </w:pPr>
      <w:r>
        <w:rPr>
          <w:rFonts w:ascii="黑体" w:eastAsia="黑体" w:hint="eastAsia"/>
        </w:rPr>
        <w:t>第九条</w:t>
        <w:tab/>
        <w:t>评审程序：</w:t>
      </w:r>
    </w:p>
    <w:p>
      <w:pPr>
        <w:pStyle w:val="BodyText"/>
        <w:spacing w:line="326" w:lineRule="auto" w:before="149"/>
        <w:ind w:left="149" w:right="314" w:firstLine="640"/>
      </w:pPr>
      <w:r>
        <w:rPr/>
        <w:t>（一</w:t>
      </w:r>
      <w:r>
        <w:rPr>
          <w:spacing w:val="-116"/>
        </w:rPr>
        <w:t>）</w:t>
      </w:r>
      <w:r>
        <w:rPr>
          <w:spacing w:val="-1"/>
        </w:rPr>
        <w:t>凡符合申请条件的学生在规定的时间内向所在学院提</w:t>
      </w:r>
      <w:r>
        <w:rPr/>
        <w:t>出申请；</w:t>
      </w:r>
    </w:p>
    <w:p>
      <w:pPr>
        <w:pStyle w:val="BodyText"/>
        <w:spacing w:line="326" w:lineRule="auto" w:before="5"/>
        <w:ind w:left="149" w:right="154" w:firstLine="640"/>
        <w:jc w:val="both"/>
      </w:pPr>
      <w:r>
        <w:rPr/>
        <w:t>（二</w:t>
      </w:r>
      <w:r>
        <w:rPr>
          <w:spacing w:val="-58"/>
        </w:rPr>
        <w:t>）</w:t>
      </w:r>
      <w:r>
        <w:rPr>
          <w:spacing w:val="-5"/>
        </w:rPr>
        <w:t>每学年学校发布评审通知后，各学院评审委员会应结</w:t>
      </w:r>
      <w:r>
        <w:rPr>
          <w:spacing w:val="-13"/>
        </w:rPr>
        <w:t>合学院工作实际，制定本学院具体评审细则。评审细则要在全院</w:t>
      </w:r>
      <w:r>
        <w:rPr>
          <w:spacing w:val="-21"/>
        </w:rPr>
        <w:t>范围内进行公示，公示无异议后，报学校学生资助管理中心备案；</w:t>
      </w:r>
    </w:p>
    <w:p>
      <w:pPr>
        <w:pStyle w:val="BodyText"/>
        <w:spacing w:line="328" w:lineRule="auto" w:before="8"/>
        <w:ind w:left="149" w:right="312" w:firstLine="640"/>
        <w:jc w:val="both"/>
      </w:pPr>
      <w:r>
        <w:rPr/>
        <w:t>（三</w:t>
      </w:r>
      <w:r>
        <w:rPr>
          <w:spacing w:val="-58"/>
        </w:rPr>
        <w:t>）</w:t>
      </w:r>
      <w:r>
        <w:rPr>
          <w:spacing w:val="-4"/>
        </w:rPr>
        <w:t>学院评审委员会在学生个人申请的基础上，通过民主</w:t>
      </w:r>
      <w:r>
        <w:rPr>
          <w:spacing w:val="-7"/>
        </w:rPr>
        <w:t>程序研究提出本学院国家奖学金初评结果，初评结果在学院公示</w:t>
      </w:r>
      <w:r>
        <w:rPr>
          <w:spacing w:val="-13"/>
        </w:rPr>
        <w:t>三个工作日，无异议后将初评结果及相关材料报送校学生资助管</w:t>
      </w:r>
      <w:r>
        <w:rPr/>
        <w:t>理中心；</w:t>
      </w:r>
    </w:p>
    <w:p>
      <w:pPr>
        <w:pStyle w:val="BodyText"/>
        <w:spacing w:line="328" w:lineRule="auto"/>
        <w:ind w:left="149" w:right="153" w:firstLine="640"/>
      </w:pPr>
      <w:r>
        <w:rPr/>
        <w:t>（四</w:t>
      </w:r>
      <w:r>
        <w:rPr>
          <w:spacing w:val="-140"/>
        </w:rPr>
        <w:t>）</w:t>
      </w:r>
      <w:r>
        <w:rPr>
          <w:spacing w:val="-12"/>
        </w:rPr>
        <w:t>校学生资助管理中心审核后，在全校公示五个工作日， </w:t>
      </w:r>
      <w:r>
        <w:rPr>
          <w:spacing w:val="-7"/>
        </w:rPr>
        <w:t>经校领导审批后报省学生资助管理中心，由省学生资助管理中心统一报教育部审批。</w:t>
      </w:r>
    </w:p>
    <w:p>
      <w:pPr>
        <w:pStyle w:val="BodyText"/>
        <w:tabs>
          <w:tab w:pos="1377" w:val="left" w:leader="none"/>
        </w:tabs>
        <w:spacing w:line="405" w:lineRule="exact"/>
        <w:ind w:right="189"/>
        <w:jc w:val="center"/>
        <w:rPr>
          <w:rFonts w:ascii="黑体" w:eastAsia="黑体" w:hint="eastAsia"/>
        </w:rPr>
      </w:pPr>
      <w:r>
        <w:rPr>
          <w:rFonts w:ascii="黑体" w:eastAsia="黑体" w:hint="eastAsia"/>
          <w:spacing w:val="26"/>
        </w:rPr>
        <w:t>第</w:t>
      </w:r>
      <w:r>
        <w:rPr>
          <w:rFonts w:ascii="黑体" w:eastAsia="黑体" w:hint="eastAsia"/>
          <w:spacing w:val="23"/>
        </w:rPr>
        <w:t>四</w:t>
      </w:r>
      <w:r>
        <w:rPr>
          <w:rFonts w:ascii="黑体" w:eastAsia="黑体" w:hint="eastAsia"/>
        </w:rPr>
        <w:t>章</w:t>
        <w:tab/>
      </w:r>
      <w:r>
        <w:rPr>
          <w:rFonts w:ascii="黑体" w:eastAsia="黑体" w:hint="eastAsia"/>
          <w:spacing w:val="23"/>
        </w:rPr>
        <w:t>发放、</w:t>
      </w:r>
      <w:r>
        <w:rPr>
          <w:rFonts w:ascii="黑体" w:eastAsia="黑体" w:hint="eastAsia"/>
          <w:spacing w:val="26"/>
        </w:rPr>
        <w:t>管</w:t>
      </w:r>
      <w:r>
        <w:rPr>
          <w:rFonts w:ascii="黑体" w:eastAsia="黑体" w:hint="eastAsia"/>
          <w:spacing w:val="23"/>
        </w:rPr>
        <w:t>理与</w:t>
      </w:r>
      <w:r>
        <w:rPr>
          <w:rFonts w:ascii="黑体" w:eastAsia="黑体" w:hint="eastAsia"/>
          <w:spacing w:val="26"/>
        </w:rPr>
        <w:t>监</w:t>
      </w:r>
      <w:r>
        <w:rPr>
          <w:rFonts w:ascii="黑体" w:eastAsia="黑体" w:hint="eastAsia"/>
        </w:rPr>
        <w:t>督</w:t>
      </w:r>
    </w:p>
    <w:p>
      <w:pPr>
        <w:spacing w:after="0" w:line="405" w:lineRule="exact"/>
        <w:jc w:val="center"/>
        <w:rPr>
          <w:rFonts w:ascii="黑体" w:eastAsia="黑体" w:hint="eastAsia"/>
        </w:rPr>
        <w:sectPr>
          <w:pgSz w:w="11910" w:h="16840"/>
          <w:pgMar w:header="0" w:footer="1383" w:top="1580" w:bottom="1580" w:left="1440" w:right="1160"/>
        </w:sectPr>
      </w:pPr>
    </w:p>
    <w:p>
      <w:pPr>
        <w:pStyle w:val="BodyText"/>
        <w:rPr>
          <w:rFonts w:ascii="黑体"/>
          <w:sz w:val="20"/>
        </w:rPr>
      </w:pPr>
    </w:p>
    <w:p>
      <w:pPr>
        <w:pStyle w:val="BodyText"/>
        <w:spacing w:before="10"/>
        <w:rPr>
          <w:rFonts w:ascii="黑体"/>
          <w:sz w:val="24"/>
        </w:rPr>
      </w:pPr>
    </w:p>
    <w:p>
      <w:pPr>
        <w:pStyle w:val="BodyText"/>
        <w:spacing w:line="328" w:lineRule="auto" w:before="54"/>
        <w:ind w:left="149" w:right="314" w:firstLine="640"/>
        <w:jc w:val="both"/>
      </w:pPr>
      <w:r>
        <w:rPr>
          <w:rFonts w:ascii="黑体" w:eastAsia="黑体" w:hint="eastAsia"/>
          <w:spacing w:val="38"/>
        </w:rPr>
        <w:t>第十条 </w:t>
      </w:r>
      <w:r>
        <w:rPr>
          <w:spacing w:val="-8"/>
        </w:rPr>
        <w:t>获国家奖学金学生名单经教育部批复、资金拨付到</w:t>
      </w:r>
      <w:r>
        <w:rPr>
          <w:spacing w:val="-13"/>
        </w:rPr>
        <w:t>位后，校学生资助管理中心协同财务处将国家奖学金一次性发放</w:t>
      </w:r>
      <w:r>
        <w:rPr/>
        <w:t>给获奖学生，颁发国家统一印制的获奖证书。</w:t>
      </w:r>
    </w:p>
    <w:p>
      <w:pPr>
        <w:pStyle w:val="BodyText"/>
        <w:tabs>
          <w:tab w:pos="2391" w:val="left" w:leader="none"/>
        </w:tabs>
        <w:spacing w:line="328" w:lineRule="auto"/>
        <w:ind w:left="149" w:right="198" w:firstLine="640"/>
      </w:pPr>
      <w:r>
        <w:rPr>
          <w:rFonts w:ascii="黑体" w:eastAsia="黑体" w:hint="eastAsia"/>
        </w:rPr>
        <w:t>第十一条</w:t>
        <w:tab/>
      </w:r>
      <w:r>
        <w:rPr/>
        <w:t>各学院要结合本学院实际情况，切实加强管理</w:t>
      </w:r>
      <w:r>
        <w:rPr>
          <w:spacing w:val="-16"/>
        </w:rPr>
        <w:t>， </w:t>
      </w:r>
      <w:r>
        <w:rPr/>
        <w:t>认真做好国家奖学金的申请</w:t>
      </w:r>
      <w:r>
        <w:rPr>
          <w:spacing w:val="-58"/>
        </w:rPr>
        <w:t>、</w:t>
      </w:r>
      <w:r>
        <w:rPr/>
        <w:t>评审和发放工作</w:t>
      </w:r>
      <w:r>
        <w:rPr>
          <w:spacing w:val="-58"/>
        </w:rPr>
        <w:t>，</w:t>
      </w:r>
      <w:r>
        <w:rPr/>
        <w:t>确保国家奖学金获得者为本学院特别优秀学生。</w:t>
      </w:r>
    </w:p>
    <w:p>
      <w:pPr>
        <w:pStyle w:val="BodyText"/>
        <w:spacing w:line="328" w:lineRule="auto"/>
        <w:ind w:left="149" w:right="312" w:firstLine="640"/>
        <w:jc w:val="both"/>
      </w:pPr>
      <w:r>
        <w:rPr>
          <w:rFonts w:ascii="黑体" w:eastAsia="黑体" w:hint="eastAsia"/>
          <w:spacing w:val="30"/>
        </w:rPr>
        <w:t>第十二条 </w:t>
      </w:r>
      <w:r>
        <w:rPr>
          <w:spacing w:val="-7"/>
        </w:rPr>
        <w:t>学校严格执行国家相关法规和本办法的规定，对</w:t>
      </w:r>
      <w:r>
        <w:rPr>
          <w:spacing w:val="-8"/>
        </w:rPr>
        <w:t>国家奖学金实行分账核算，专款专用，不截留、挤占、挪用，同时接受上级主管单位和学校财务、审计等部门的审计、检查和监</w:t>
      </w:r>
      <w:r>
        <w:rPr/>
        <w:t>督。</w:t>
      </w:r>
    </w:p>
    <w:p>
      <w:pPr>
        <w:pStyle w:val="BodyText"/>
        <w:tabs>
          <w:tab w:pos="1377" w:val="left" w:leader="none"/>
        </w:tabs>
        <w:spacing w:line="393" w:lineRule="exact"/>
        <w:ind w:right="162"/>
        <w:jc w:val="center"/>
        <w:rPr>
          <w:rFonts w:ascii="黑体" w:eastAsia="黑体" w:hint="eastAsia"/>
        </w:rPr>
      </w:pPr>
      <w:r>
        <w:rPr>
          <w:rFonts w:ascii="黑体" w:eastAsia="黑体" w:hint="eastAsia"/>
          <w:spacing w:val="26"/>
        </w:rPr>
        <w:t>第</w:t>
      </w:r>
      <w:r>
        <w:rPr>
          <w:rFonts w:ascii="黑体" w:eastAsia="黑体" w:hint="eastAsia"/>
          <w:spacing w:val="23"/>
        </w:rPr>
        <w:t>五</w:t>
      </w:r>
      <w:r>
        <w:rPr>
          <w:rFonts w:ascii="黑体" w:eastAsia="黑体" w:hint="eastAsia"/>
        </w:rPr>
        <w:t>章</w:t>
        <w:tab/>
      </w:r>
      <w:r>
        <w:rPr>
          <w:rFonts w:ascii="黑体" w:eastAsia="黑体" w:hint="eastAsia"/>
          <w:spacing w:val="24"/>
        </w:rPr>
        <w:t>附则</w:t>
      </w:r>
    </w:p>
    <w:p>
      <w:pPr>
        <w:pStyle w:val="BodyText"/>
        <w:tabs>
          <w:tab w:pos="2391" w:val="left" w:leader="none"/>
        </w:tabs>
        <w:spacing w:line="326" w:lineRule="auto" w:before="151"/>
        <w:ind w:left="149" w:right="313" w:firstLine="640"/>
      </w:pPr>
      <w:r>
        <w:rPr>
          <w:rFonts w:ascii="黑体" w:eastAsia="黑体" w:hint="eastAsia"/>
        </w:rPr>
        <w:t>第十三条</w:t>
        <w:tab/>
      </w:r>
      <w:r>
        <w:rPr/>
        <w:t>本办法自发布之日起开始施行</w:t>
      </w:r>
      <w:r>
        <w:rPr>
          <w:spacing w:val="-58"/>
        </w:rPr>
        <w:t>，原</w:t>
      </w:r>
      <w:r>
        <w:rPr/>
        <w:t>《湖北师范</w:t>
      </w:r>
      <w:r>
        <w:rPr>
          <w:spacing w:val="-15"/>
        </w:rPr>
        <w:t>大</w:t>
      </w:r>
      <w:r>
        <w:rPr/>
        <w:t>学国家奖学金评审办法》（湖师学〔2017〕16</w:t>
      </w:r>
      <w:r>
        <w:rPr>
          <w:spacing w:val="-83"/>
        </w:rPr>
        <w:t> </w:t>
      </w:r>
      <w:r>
        <w:rPr/>
        <w:t>号）同时废止。</w:t>
      </w:r>
    </w:p>
    <w:p>
      <w:pPr>
        <w:pStyle w:val="BodyText"/>
        <w:tabs>
          <w:tab w:pos="2391" w:val="left" w:leader="none"/>
        </w:tabs>
        <w:spacing w:line="328" w:lineRule="auto" w:before="4"/>
        <w:ind w:left="149" w:right="313" w:firstLine="640"/>
      </w:pPr>
      <w:r>
        <w:rPr>
          <w:rFonts w:ascii="黑体" w:eastAsia="黑体" w:hint="eastAsia"/>
        </w:rPr>
        <w:t>第十四条</w:t>
        <w:tab/>
      </w:r>
      <w:r>
        <w:rPr/>
        <w:t>本办法由学校授权学生工作</w:t>
      </w:r>
      <w:r>
        <w:rPr>
          <w:spacing w:val="-116"/>
        </w:rPr>
        <w:t>部</w:t>
      </w:r>
      <w:r>
        <w:rPr/>
        <w:t>（学生资助管理</w:t>
      </w:r>
      <w:r>
        <w:rPr>
          <w:spacing w:val="-15"/>
        </w:rPr>
        <w:t>中</w:t>
      </w:r>
      <w:r>
        <w:rPr/>
        <w:t>心）负责解释。</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0"/>
        </w:rPr>
      </w:pPr>
      <w:r>
        <w:rPr/>
        <w:pict>
          <v:line style="position:absolute;mso-position-horizontal-relative:page;mso-position-vertical-relative:paragraph;z-index:-251652096;mso-wrap-distance-left:0;mso-wrap-distance-right:0" from="78.503998pt,15.547506pt" to="522.573998pt,15.547506pt" stroked="true" strokeweight=".47998pt" strokecolor="#000000">
            <v:stroke dashstyle="solid"/>
            <w10:wrap type="topAndBottom"/>
          </v:line>
        </w:pict>
      </w:r>
    </w:p>
    <w:p>
      <w:pPr>
        <w:pStyle w:val="BodyText"/>
        <w:tabs>
          <w:tab w:pos="5280" w:val="left" w:leader="none"/>
        </w:tabs>
        <w:spacing w:before="104" w:after="25"/>
        <w:ind w:right="109"/>
        <w:jc w:val="center"/>
      </w:pPr>
      <w:r>
        <w:rPr/>
        <w:t>湖北师范大学校长办公室</w:t>
        <w:tab/>
        <w:t>2021</w:t>
      </w:r>
      <w:r>
        <w:rPr>
          <w:spacing w:val="-83"/>
        </w:rPr>
        <w:t> </w:t>
      </w:r>
      <w:r>
        <w:rPr/>
        <w:t>年</w:t>
      </w:r>
      <w:r>
        <w:rPr>
          <w:spacing w:val="-79"/>
        </w:rPr>
        <w:t> </w:t>
      </w:r>
      <w:r>
        <w:rPr/>
        <w:t>3</w:t>
      </w:r>
      <w:r>
        <w:rPr>
          <w:spacing w:val="-80"/>
        </w:rPr>
        <w:t> </w:t>
      </w:r>
      <w:r>
        <w:rPr/>
        <w:t>月</w:t>
      </w:r>
      <w:r>
        <w:rPr>
          <w:spacing w:val="-81"/>
        </w:rPr>
        <w:t> </w:t>
      </w:r>
      <w:r>
        <w:rPr/>
        <w:t>31</w:t>
      </w:r>
      <w:r>
        <w:rPr>
          <w:spacing w:val="-80"/>
        </w:rPr>
        <w:t> </w:t>
      </w:r>
      <w:r>
        <w:rPr/>
        <w:t>印发</w:t>
      </w:r>
    </w:p>
    <w:p>
      <w:pPr>
        <w:pStyle w:val="BodyText"/>
        <w:spacing w:line="20" w:lineRule="exact"/>
        <w:ind w:left="110"/>
        <w:rPr>
          <w:sz w:val="2"/>
        </w:rPr>
      </w:pPr>
      <w:r>
        <w:rPr>
          <w:sz w:val="2"/>
        </w:rPr>
        <w:pict>
          <v:group style="width:444.8pt;height:.5pt;mso-position-horizontal-relative:char;mso-position-vertical-relative:line" coordorigin="0,0" coordsize="8896,10">
            <v:line style="position:absolute" from="0,5" to="8896,5" stroked="true" strokeweight=".48004pt" strokecolor="#000000">
              <v:stroke dashstyle="solid"/>
            </v:line>
          </v:group>
        </w:pict>
      </w:r>
      <w:r>
        <w:rPr>
          <w:sz w:val="2"/>
        </w:rPr>
      </w:r>
    </w:p>
    <w:sectPr>
      <w:pgSz w:w="11910" w:h="16840"/>
      <w:pgMar w:header="0" w:footer="1383" w:top="1580" w:bottom="1580" w:left="1440" w:right="11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华文中宋">
    <w:altName w:val="华文中宋"/>
    <w:charset w:val="86"/>
    <w:family w:val="auto"/>
    <w:pitch w:val="variable"/>
  </w:font>
  <w:font w:name="黑体">
    <w:altName w:val="黑体"/>
    <w:charset w:val="86"/>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71.660004pt;margin-top:761.750366pt;width:51.1pt;height:16.05pt;mso-position-horizontal-relative:page;mso-position-vertical-relative:page;z-index:-251820032" type="#_x0000_t202" filled="false" stroked="false">
          <v:textbox inset="0,0,0,0">
            <w:txbxContent>
              <w:p>
                <w:pPr>
                  <w:spacing w:line="321" w:lineRule="exact" w:before="0"/>
                  <w:ind w:left="20" w:right="0" w:firstLine="0"/>
                  <w:jc w:val="left"/>
                  <w:rPr>
                    <w:sz w:val="28"/>
                  </w:rPr>
                </w:pPr>
                <w:r>
                  <w:rPr>
                    <w:sz w:val="28"/>
                  </w:rPr>
                  <w:t>— </w:t>
                </w:r>
                <w:r>
                  <w:rPr/>
                  <w:fldChar w:fldCharType="begin"/>
                </w:r>
                <w:r>
                  <w:rPr>
                    <w:sz w:val="28"/>
                  </w:rPr>
                  <w:instrText> PAGE </w:instrText>
                </w:r>
                <w:r>
                  <w:rPr/>
                  <w:fldChar w:fldCharType="separate"/>
                </w:r>
                <w:r>
                  <w:rPr/>
                  <w:t>1</w:t>
                </w:r>
                <w:r>
                  <w:rPr/>
                  <w:fldChar w:fldCharType="end"/>
                </w:r>
                <w:r>
                  <w:rPr>
                    <w:sz w:val="28"/>
                  </w:rPr>
                  <w:t> —</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8.463997pt;margin-top:761.750366pt;width:51.1pt;height:16.05pt;mso-position-horizontal-relative:page;mso-position-vertical-relative:page;z-index:-251819008" type="#_x0000_t202" filled="false" stroked="false">
          <v:textbox inset="0,0,0,0">
            <w:txbxContent>
              <w:p>
                <w:pPr>
                  <w:spacing w:line="321" w:lineRule="exact" w:before="0"/>
                  <w:ind w:left="20" w:right="0" w:firstLine="0"/>
                  <w:jc w:val="left"/>
                  <w:rPr>
                    <w:sz w:val="28"/>
                  </w:rPr>
                </w:pPr>
                <w:r>
                  <w:rPr>
                    <w:sz w:val="28"/>
                  </w:rPr>
                  <w:t>— </w:t>
                </w:r>
                <w:r>
                  <w:rPr/>
                  <w:fldChar w:fldCharType="begin"/>
                </w:r>
                <w:r>
                  <w:rPr>
                    <w:sz w:val="28"/>
                  </w:rPr>
                  <w:instrText> PAGE </w:instrText>
                </w:r>
                <w:r>
                  <w:rPr/>
                  <w:fldChar w:fldCharType="separate"/>
                </w:r>
                <w:r>
                  <w:rPr/>
                  <w:t>2</w:t>
                </w:r>
                <w:r>
                  <w:rPr/>
                  <w:fldChar w:fldCharType="end"/>
                </w:r>
                <w:r>
                  <w:rPr>
                    <w:sz w:val="28"/>
                  </w:rPr>
                  <w:t> —</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zh-CN" w:eastAsia="zh-CN" w:bidi="zh-CN"/>
    </w:rPr>
  </w:style>
  <w:style w:styleId="BodyText" w:type="paragraph">
    <w:name w:val="Body Text"/>
    <w:basedOn w:val="Normal"/>
    <w:uiPriority w:val="1"/>
    <w:qFormat/>
    <w:pPr/>
    <w:rPr>
      <w:rFonts w:ascii="宋体" w:hAnsi="宋体" w:eastAsia="宋体" w:cs="宋体"/>
      <w:sz w:val="32"/>
      <w:szCs w:val="32"/>
      <w:lang w:val="zh-CN" w:eastAsia="zh-CN" w:bidi="zh-CN"/>
    </w:rPr>
  </w:style>
  <w:style w:styleId="Heading1" w:type="paragraph">
    <w:name w:val="Heading 1"/>
    <w:basedOn w:val="Normal"/>
    <w:uiPriority w:val="1"/>
    <w:qFormat/>
    <w:pPr>
      <w:spacing w:before="192"/>
      <w:ind w:left="149"/>
      <w:outlineLvl w:val="1"/>
    </w:pPr>
    <w:rPr>
      <w:rFonts w:ascii="华文中宋" w:hAnsi="华文中宋" w:eastAsia="华文中宋" w:cs="华文中宋"/>
      <w:sz w:val="44"/>
      <w:szCs w:val="4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jpeg"/><Relationship Id="rId8" Type="http://schemas.openxmlformats.org/officeDocument/2006/relationships/image" Target="media/image2.png"/><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叶莉</dc:creator>
  <dcterms:created xsi:type="dcterms:W3CDTF">2021-05-12T06:56:18Z</dcterms:created>
  <dcterms:modified xsi:type="dcterms:W3CDTF">2021-05-12T06:56:18Z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2021-03-31T00:00:00Z</vt:filetime>
  </property>
  <property fmtid="{D5CDD505-2E9C-101B-9397-08002B2CF9AE}" pid="3" name="Creator">
    <vt:lpwstr>Microsoft® Word 2010</vt:lpwstr>
  </property>
  <property fmtid="{D5CDD505-2E9C-101B-9397-08002B2CF9AE}" pid="4" name="LastSaved">
    <vt:filetime>2021-05-12T00:00:00Z</vt:filetime>
  </property>
</Properties>
</file>